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35" w:rsidRDefault="008D4B35" w:rsidP="008D4B35">
      <w:pPr>
        <w:pStyle w:val="a5"/>
        <w:jc w:val="center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Муҳтарам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Шавкат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Миромонович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Хурматли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йиғилиш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қатнашчилари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 xml:space="preserve">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иқтисодий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муҳим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устувор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вазифалари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иқтисодиётни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ислоҳ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таркибий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ўзгартиришнинг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ўртача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изчил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ҳаётга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изчиллик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тадбиқ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этаётган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меҳнат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жамоаси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йилнинг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яхши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якунлади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халқаро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стандарт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талабларига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жавоб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14,1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режа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ортиғи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108,9%)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196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ҳалқ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истеъмоли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товарлари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 xml:space="preserve">Бунда,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маҳаллийлаштириш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1,2 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қотишмаларнинг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            100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(624тн)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қотишмалари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121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(+ 37тн)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1,84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прогноз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177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Режага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802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кўп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доллар (113%)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кўп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Шундан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: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– 117%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147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(140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);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– 190%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618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(209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);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парчалари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– 179%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215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(398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);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бошқа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қўрғошин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– 184%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863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(587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таннархини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камайтириш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прогноз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487 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маблағ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тежаб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қолинди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Ҳисобот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2,6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тонна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чиқиндилари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тайёрланиб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тасдиқланган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баланснинг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Ҳурматли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Шавкат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Миромонович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lastRenderedPageBreak/>
        <w:t>Ўтган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фаолиятимизни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таҳлил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I ярим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Биринчидан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9-чи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Халқаро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саноат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ярмаркаси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кооперация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мамлакатимизнинг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қатор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ҳамкорлик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тўғрисида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22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битимлар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шартномалар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тузилди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Шартномаларни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ярим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режаларини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(11,3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млрд.сўм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кўпайишига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шубхасиздир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Иккинчидан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баланс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мақсадида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қуйидаги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оширишимиз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даркор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чиқиндиларини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топширувчи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моддий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манфаатдорлигини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мақсадида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бозор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талабларига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риоя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рағбатлантирувчи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харид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нархларини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шакллантиришни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;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Республикаси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419-сонли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қарорига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филиалларни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замонавий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асбоб-ускуна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жихозлар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жойлардаги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кадрлар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таркибини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билимли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мутаҳассислар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кучайтирилишини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малакасини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 xml:space="preserve">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I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ярмида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5377 тонна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чиқиндиларини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Учинчидан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ашёдан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380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1475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Тўртинчидан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Президентимизнинг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4707-сонли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Фармонингизга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симлари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жадаллаштириш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мазкур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аввал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13 ой)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I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ярми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хусусан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>-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саноат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сураътлари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107,8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(37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;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>-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экспорти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прогнози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таъминланиб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2842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қолдиғи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дебитор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кредитор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қарздорликни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кескин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камайтирилишига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эришилади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lastRenderedPageBreak/>
        <w:t>Ҳурматли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Шавкат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Миромонович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Вазирлар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Маҳкамаси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Иқтисодиёт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вазирлиги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ҳамкорликда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мўлжалланган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металларни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юқори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қўшимча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қийматли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Мазкур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2016-2020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мобайнида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умумий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қиймати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15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млн.долларлик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8та инвестиция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кўзланмоқда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Муҳтарам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Шавкат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Миромонович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Бугунги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қамровли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йиғилишимизда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муҳокама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масалалардан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хулоса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Сиз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томонингиздан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олдимизга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қўйилган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вазифаларга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эришиш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имкониятларимизни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соламиз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деб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ишонтираман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8D4B35" w:rsidRDefault="008D4B35" w:rsidP="008D4B35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Эътиборингиз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раҳмат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2841AA" w:rsidRPr="008D4B35" w:rsidRDefault="008D4B35" w:rsidP="008D4B35">
      <w:bookmarkStart w:id="0" w:name="_GoBack"/>
      <w:bookmarkEnd w:id="0"/>
    </w:p>
    <w:sectPr w:rsidR="002841AA" w:rsidRPr="008D4B35" w:rsidSect="002E04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1"/>
    <w:rsid w:val="0016021E"/>
    <w:rsid w:val="002E04B1"/>
    <w:rsid w:val="00333914"/>
    <w:rsid w:val="00380FF1"/>
    <w:rsid w:val="004231E7"/>
    <w:rsid w:val="00782F31"/>
    <w:rsid w:val="008D4B35"/>
    <w:rsid w:val="00953CAD"/>
    <w:rsid w:val="00C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BD20-37EE-4C34-AB16-D5BD4D8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0F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FF1"/>
  </w:style>
  <w:style w:type="paragraph" w:styleId="a5">
    <w:name w:val="Normal (Web)"/>
    <w:basedOn w:val="a"/>
    <w:uiPriority w:val="99"/>
    <w:semiHidden/>
    <w:unhideWhenUsed/>
    <w:rsid w:val="00333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Шашков</dc:creator>
  <cp:keywords/>
  <dc:description/>
  <cp:lastModifiedBy>Денис Шашков</cp:lastModifiedBy>
  <cp:revision>2</cp:revision>
  <dcterms:created xsi:type="dcterms:W3CDTF">2017-04-17T09:52:00Z</dcterms:created>
  <dcterms:modified xsi:type="dcterms:W3CDTF">2017-04-17T09:52:00Z</dcterms:modified>
</cp:coreProperties>
</file>